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lachi-3"/>
    <w:p>
      <w:pPr>
        <w:pStyle w:val="Heading1"/>
      </w:pPr>
      <w:r>
        <w:t xml:space="preserve">Homiletics Analysis: Malachi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Malachi 3 stands as the theological and rhetorical apex of the book. The chapter opens with a messenger-preparation oracle (vv. 1–5): the LORD announces He is sending a forerunner to prepare His way, followed by the LORD Himself coming suddenly to His temple. But His coming is not the comfortable theophany Israel anticipates — it is refining fire and fuller’s soap. The messenger of the covenant comes to purify the Levites, judge sorcerers and adulterers and oppressors, and bring near the swift judgment Israel has been demanding rhetorically through the book’s preceding disputations. Verses 6–12 pivot to the covenant faithfulness question: the LORD grounds His patience in His own immutability (</w:t>
      </w:r>
      <w:r>
        <w:t xml:space="preserve">“I the LORD do not change; therefore you, O children of Jacob, are not consumed,”</w:t>
      </w:r>
      <w:r>
        <w:t xml:space="preserve"> </w:t>
      </w:r>
      <w:r>
        <w:t xml:space="preserve">v. 6), then confronts Israel’s chronic covenant infidelity, specifically in the withholding of tithes and offerings. The charge is blunt —</w:t>
      </w:r>
      <w:r>
        <w:t xml:space="preserve"> </w:t>
      </w:r>
      <w:r>
        <w:t xml:space="preserve">“you are robbing me”</w:t>
      </w:r>
      <w:r>
        <w:t xml:space="preserve"> </w:t>
      </w:r>
      <w:r>
        <w:t xml:space="preserve">(v. 8) — and the remedy is equally direct: return the full tithe to the storehouse, test the LORD’s generosity, and see whether He will not open the windows of heaven. Verses 13–18 close the chapter with the sixth disputation: Israel has spoken</w:t>
      </w:r>
      <w:r>
        <w:t xml:space="preserve"> </w:t>
      </w:r>
      <w:r>
        <w:t xml:space="preserve">“hard words”</w:t>
      </w:r>
      <w:r>
        <w:t xml:space="preserve"> </w:t>
      </w:r>
      <w:r>
        <w:t xml:space="preserve">against God, claiming it is futile to serve Him and that the arrogant and wicked prosper while the righteous suffer. The LORD’s response is not argument but future orientation — a</w:t>
      </w:r>
      <w:r>
        <w:t xml:space="preserve"> </w:t>
      </w:r>
      <w:r>
        <w:t xml:space="preserve">“book of remembrance”</w:t>
      </w:r>
      <w:r>
        <w:t xml:space="preserve"> </w:t>
      </w:r>
      <w:r>
        <w:t xml:space="preserve">is written for those who fear the LORD and esteem His name, and a day is coming when God will publicly distinguish between those who served Him and those who did not.</w:t>
      </w:r>
    </w:p>
    <w:p>
      <w:pPr>
        <w:pStyle w:val="BodyText"/>
      </w:pPr>
      <w:r>
        <w:rPr>
          <w:b/>
          <w:bCs/>
        </w:rPr>
        <w:t xml:space="preserve">This Text — Intent</w:t>
      </w:r>
    </w:p>
    <w:p>
      <w:pPr>
        <w:pStyle w:val="BodyText"/>
      </w:pPr>
      <w:r>
        <w:t xml:space="preserve">God is doing several interlocking things through this chapter, and they cohere around a single diagnostic concern: Israel has been functionally atheistic — living as though God neither sees their covenant failures, nor rewards faithful obedience, nor will ever act to vindicate His own name. The intent of Malachi 3 is to shatter that functional atheism by confronting it from three directions simultaneously. First, the coming-messenger oracle (vv. 1–5) confronts the fantasy of a comfortable divine arrival with the reality of a refining theophany — God is coming, but His coming will judge covenant failure, not affirm complacent religion. Second, the tithing confrontation (vv. 6–12) exposes where Israel’s practical unbelief lodges — in their wallets — and invites them to test divine generosity rather than assume its absence. Third, the book of remembrance and the distinction oracle (vv. 13–18) confronts the cynicism of those who have concluded that faithfulness to God is a losing investment, and promises that God sees, records, and will publicly vindicate every person who fears Him. God is calling Israel out of the functional atheism masquerading as religious participation and back into genuine covenant fear and trust.</w:t>
      </w:r>
    </w:p>
    <w:p>
      <w:r>
        <w:pict>
          <v:rect style="width:0;height:1.5pt" o:hralign="center" o:hrstd="t" o:hr="t"/>
        </w:pict>
      </w:r>
    </w:p>
    <w:p>
      <w:pPr>
        <w:pStyle w:val="FirstParagraph"/>
      </w:pPr>
      <w:r>
        <w:rPr>
          <w:b/>
          <w:bCs/>
        </w:rPr>
        <w:t xml:space="preserve">Subject Sentence:</w:t>
      </w:r>
      <w:r>
        <w:t xml:space="preserve"> </w:t>
      </w:r>
      <w:r>
        <w:t xml:space="preserve">The LORD announces His coming, exposes covenant robbery, and silences the cynicism that faithfulness to God is futile.</w:t>
      </w:r>
    </w:p>
    <w:p>
      <w:r>
        <w:pict>
          <v:rect style="width:0;height:1.5pt" o:hralign="center" o:hrstd="t" o:hr="t"/>
        </w:pict>
      </w:r>
    </w:p>
    <w:p>
      <w:pPr>
        <w:pStyle w:val="FirstParagraph"/>
      </w:pPr>
      <w:r>
        <w:rPr>
          <w:b/>
          <w:bCs/>
        </w:rPr>
        <w:t xml:space="preserve">Primary Claim:</w:t>
      </w:r>
      <w:r>
        <w:t xml:space="preserve"> </w:t>
      </w:r>
      <w:r>
        <w:t xml:space="preserve">God is confronting His people’s functional atheism — the practical conclusion that He neither enforces covenant obligations nor rewards covenant faithfulness — by announcing His refining arrival, naming their robbery, and writing the names of the faithful in His own book.</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Messenger of Malachi 3:1</w:t>
      </w:r>
    </w:p>
    <w:p>
      <w:pPr>
        <w:pStyle w:val="BodyText"/>
      </w:pPr>
      <w:r>
        <w:t xml:space="preserve">The most contested interpretive issue in this chapter is the identity of</w:t>
      </w:r>
      <w:r>
        <w:t xml:space="preserve"> </w:t>
      </w:r>
      <w:r>
        <w:t xml:space="preserve">“my messenger”</w:t>
      </w:r>
      <w:r>
        <w:t xml:space="preserve"> </w:t>
      </w:r>
      <w:r>
        <w:t xml:space="preserve">in verse 1 and his relationship to</w:t>
      </w:r>
      <w:r>
        <w:t xml:space="preserve"> </w:t>
      </w:r>
      <w:r>
        <w:t xml:space="preserve">“the messenger of the covenant.”</w:t>
      </w:r>
      <w:r>
        <w:t xml:space="preserve"> </w:t>
      </w:r>
      <w:r>
        <w:t xml:space="preserve">The New Testament explicitly identifies the preparatory messenger with John the Baptist (Matthew 11:10; Mark 1:2; Luke 7:27), citing Malachi 3:1 as fulfilled in John’s ministry. Some critical scholars resist this identification, arguing that the original referent was either an angelic figure or an idealized priestly reformer. This resistance underestimates the canonical shape of the oracle — Malachi 4:5–6 identifies the coming forerunner with Elijah, which Jesus directly applies to John (Matthew 11:14; 17:12–13). The identification is not an imposition on the text; it is the text’s own eschatological trajectory. The Reformed reading affirms the New Testament’s identification as authorial intent realized in redemptive history: the oracle was always oriented toward the forerunner who would prepare Israel for the coming of Christ, the covenant Lord Himself. This does not collapse the historical-grammatical meaning into allegory — it reads the eschatological horizon of the text as pointing to its fulfillment.</w:t>
      </w:r>
    </w:p>
    <w:p>
      <w:pPr>
        <w:pStyle w:val="BodyText"/>
      </w:pPr>
      <w:r>
        <w:rPr>
          <w:b/>
          <w:bCs/>
        </w:rPr>
        <w:t xml:space="preserve">“The messenger of the covenant”</w:t>
      </w:r>
      <w:r>
        <w:rPr>
          <w:b/>
          <w:bCs/>
        </w:rPr>
        <w:t xml:space="preserve"> </w:t>
      </w:r>
      <w:r>
        <w:rPr>
          <w:b/>
          <w:bCs/>
        </w:rPr>
        <w:t xml:space="preserve">(v. 1b)</w:t>
      </w:r>
      <w:r>
        <w:t xml:space="preserve"> </w:t>
      </w:r>
      <w:r>
        <w:t xml:space="preserve">is best read as a title for the LORD Himself coming to His temple in covenant enforcement — the one in whom the covenant finds its personal embodiment and ultimate adjudication. Some read this as a distinct angelic figure; others (Lutheran tradition especially) read it as a reference to Christ’s first advent. Reformed exegesis holds that the language points to the Lord Jesus Christ as the covenant mediator who comes both in judgment (against covenant breakers) and in grace (to purify and refine), with the fullness of this theophany spanning both advents. This is a legitimate both/and within the text’s own range, not a forced typology.</w:t>
      </w:r>
    </w:p>
    <w:p>
      <w:pPr>
        <w:pStyle w:val="BodyText"/>
      </w:pPr>
      <w:r>
        <w:rPr>
          <w:b/>
          <w:bCs/>
        </w:rPr>
        <w:t xml:space="preserve">The Tithing Command (vv. 6–12) — Applicability Under the New Covenant</w:t>
      </w:r>
    </w:p>
    <w:p>
      <w:pPr>
        <w:pStyle w:val="BodyText"/>
      </w:pPr>
      <w:r>
        <w:t xml:space="preserve">A significant hermeneutical dispute surrounds verses 8–12: do these verses bind New Testament Christians to a ten-percent tithe? The Wesleyan/Methodist and Baptist traditions have historically used this passage as the primary New Testament-era tithe command, often preaching verse 10 as a direct obligation on Christian giving with the promise of material blessing attached. This reading overreaches by failing to account for the Mosaic covenant context of the Levitical tithe system. The tithe in Malachi is specifically the temple storehouse tithe — the provision for Levitical ministry under the old covenant economy. To import this directly into the new covenant giving framework without canonical mediation is to skip the hermeneutical step that 2 Corinthians 9:6–8 performs — where Paul replaces the tithe structure with the principle of cheerful, proportionate generosity, deliberately departing from the compulsory-percentage framework.</w:t>
      </w:r>
    </w:p>
    <w:p>
      <w:pPr>
        <w:pStyle w:val="BodyText"/>
      </w:pPr>
      <w:r>
        <w:t xml:space="preserve">The Reformed reading acknowledges this and holds that the passage’s direct application is to Israel under the Mosaic covenant, while its theological principles carry into the new covenant under transformed categories: God expects covenant generosity proportionate to covenant blessing; withholding from God’s work reflects practical unbelief; and God’s generosity toward the faithful giver is a genuine biblical promise — though the form of that generosity is now articulated in terms of spiritual abundance (2 Corinthians 9:10–11) rather than guaranteed agricultural return. The Pentecostal/Charismatic tradition’s use of verse 10 as a direct wealth-promise should be qualified sharply — the text’s</w:t>
      </w:r>
      <w:r>
        <w:t xml:space="preserve"> </w:t>
      </w:r>
      <w:r>
        <w:t xml:space="preserve">“windows of heaven”</w:t>
      </w:r>
      <w:r>
        <w:t xml:space="preserve"> </w:t>
      </w:r>
      <w:r>
        <w:t xml:space="preserve">imagery is agrarian-covenantal, not a blank-check prosperity guarantee.</w:t>
      </w:r>
    </w:p>
    <w:p>
      <w:pPr>
        <w:pStyle w:val="BodyText"/>
      </w:pPr>
      <w:r>
        <w:rPr>
          <w:b/>
          <w:bCs/>
        </w:rPr>
        <w:t xml:space="preserve">The</w:t>
      </w:r>
      <w:r>
        <w:rPr>
          <w:b/>
          <w:bCs/>
        </w:rPr>
        <w:t xml:space="preserve"> </w:t>
      </w:r>
      <w:r>
        <w:rPr>
          <w:b/>
          <w:bCs/>
        </w:rPr>
        <w:t xml:space="preserve">“book of remembrance”</w:t>
      </w:r>
      <w:r>
        <w:rPr>
          <w:b/>
          <w:bCs/>
        </w:rPr>
        <w:t xml:space="preserve"> </w:t>
      </w:r>
      <w:r>
        <w:rPr>
          <w:b/>
          <w:bCs/>
        </w:rPr>
        <w:t xml:space="preserve">(v. 16)</w:t>
      </w:r>
      <w:r>
        <w:t xml:space="preserve"> </w:t>
      </w:r>
      <w:r>
        <w:t xml:space="preserve">is straightforwardly understood in the Reformed tradition as a vivid anthropomorphic depiction of God’s perfect knowledge and care for His faithful people — a literary parallel to the Lamb’s book of life (Revelation 13:8; 20:12). There is no significant interpretive dispute here worth prolonged engagement.</w:t>
      </w:r>
    </w:p>
    <w:p>
      <w:pPr>
        <w:pStyle w:val="BodyText"/>
      </w:pPr>
      <w:r>
        <w:rPr>
          <w:b/>
          <w:bCs/>
        </w:rPr>
        <w:t xml:space="preserve">The Distinction Oracle (vv. 17–18)</w:t>
      </w:r>
      <w:r>
        <w:t xml:space="preserve"> </w:t>
      </w:r>
      <w:r>
        <w:t xml:space="preserve">— some Dispensational readers have attempted to read the</w:t>
      </w:r>
      <w:r>
        <w:t xml:space="preserve"> </w:t>
      </w:r>
      <w:r>
        <w:t xml:space="preserve">“day”</w:t>
      </w:r>
      <w:r>
        <w:t xml:space="preserve"> </w:t>
      </w:r>
      <w:r>
        <w:t xml:space="preserve">of verse 17 as referring specifically to a future literal day of national Israel’s vindication within a tribulation-millennial framework. While the passage does carry eschatological freight, the Reformed reading holds that the distinction between the righteous and the wicked that the passage promises was inaugurated at the first advent, is operative in the present age in the church’s experience, and will be consummated at the final judgment. This does not require a specialized dispensational calendar to be hermeneutically coherent — the text’s own day-of-the-LORD eschatology resolves into the one judgment event that the whole Bible anticipates.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11:7–14</w:t>
      </w:r>
      <w:r>
        <w:t xml:space="preserve"> </w:t>
      </w:r>
      <w:r>
        <w:t xml:space="preserve">— Jesus explicitly identifies John the Baptist as the fulfillment of Malachi 3:1’s forerunner oracle, confirming the Christological trajectory of the passage and grounding the</w:t>
      </w:r>
      <w:r>
        <w:t xml:space="preserve"> </w:t>
      </w:r>
      <w:r>
        <w:t xml:space="preserve">“messenger”</w:t>
      </w:r>
      <w:r>
        <w:t xml:space="preserve"> </w:t>
      </w:r>
      <w:r>
        <w:t xml:space="preserve">identification in dominical authority.</w:t>
      </w:r>
    </w:p>
    <w:p>
      <w:pPr>
        <w:numPr>
          <w:ilvl w:val="0"/>
          <w:numId w:val="1001"/>
        </w:numPr>
      </w:pPr>
      <w:r>
        <w:rPr>
          <w:b/>
          <w:bCs/>
        </w:rPr>
        <w:t xml:space="preserve">Isaiah 40:3–5</w:t>
      </w:r>
      <w:r>
        <w:t xml:space="preserve"> </w:t>
      </w:r>
      <w:r>
        <w:t xml:space="preserve">— The parallel</w:t>
      </w:r>
      <w:r>
        <w:t xml:space="preserve"> </w:t>
      </w:r>
      <w:r>
        <w:t xml:space="preserve">“prepare the way”</w:t>
      </w:r>
      <w:r>
        <w:t xml:space="preserve"> </w:t>
      </w:r>
      <w:r>
        <w:t xml:space="preserve">oracle establishes the forerunner motif within the broader prophetic canon; Malachi’s oracle stands in this line, both confirming the pattern and narrowing it to its immediate eschatological fulfillment.</w:t>
      </w:r>
    </w:p>
    <w:p>
      <w:pPr>
        <w:numPr>
          <w:ilvl w:val="0"/>
          <w:numId w:val="1001"/>
        </w:numPr>
      </w:pPr>
      <w:r>
        <w:rPr>
          <w:b/>
          <w:bCs/>
        </w:rPr>
        <w:t xml:space="preserve">2 Corinthians 9:6–12</w:t>
      </w:r>
      <w:r>
        <w:t xml:space="preserve"> </w:t>
      </w:r>
      <w:r>
        <w:t xml:space="preserve">— Paul’s transformation of the tithe-and-blessing framework into cheerful-generosity-and-divine-abundance provides the New Testament hermeneutical bridge for Malachi 3:10–12, showing the principle carries while the specific mechanism is recast in Christ.</w:t>
      </w:r>
    </w:p>
    <w:p>
      <w:pPr>
        <w:numPr>
          <w:ilvl w:val="0"/>
          <w:numId w:val="1001"/>
        </w:numPr>
      </w:pPr>
      <w:r>
        <w:rPr>
          <w:b/>
          <w:bCs/>
        </w:rPr>
        <w:t xml:space="preserve">Revelation 20:11–15</w:t>
      </w:r>
      <w:r>
        <w:t xml:space="preserve"> </w:t>
      </w:r>
      <w:r>
        <w:t xml:space="preserve">— The great white throne judgment and the books opened in that scene are the eschatological realization of Malachi 3:16–18’s</w:t>
      </w:r>
      <w:r>
        <w:t xml:space="preserve"> </w:t>
      </w:r>
      <w:r>
        <w:t xml:space="preserve">“book of remembrance”</w:t>
      </w:r>
      <w:r>
        <w:t xml:space="preserve"> </w:t>
      </w:r>
      <w:r>
        <w:t xml:space="preserve">and distinction oracle — God publicly vindicating the faithful and judging the unfaithful is the climax toward which the passage points.</w:t>
      </w:r>
    </w:p>
    <w:p>
      <w:pPr>
        <w:numPr>
          <w:ilvl w:val="0"/>
          <w:numId w:val="1001"/>
        </w:numPr>
      </w:pPr>
      <w:r>
        <w:rPr>
          <w:b/>
          <w:bCs/>
        </w:rPr>
        <w:t xml:space="preserve">Psalm 73:1–17</w:t>
      </w:r>
      <w:r>
        <w:t xml:space="preserve"> </w:t>
      </w:r>
      <w:r>
        <w:t xml:space="preserve">— The psalmist’s struggle with the apparent futility of righteous living (</w:t>
      </w:r>
      <w:r>
        <w:t xml:space="preserve">“in vain have I kept my heart clean,”</w:t>
      </w:r>
      <w:r>
        <w:t xml:space="preserve"> </w:t>
      </w:r>
      <w:r>
        <w:t xml:space="preserve">v. 13) is the same functional despair that Malachi 3:14–15 voices, making Psalm 73 the closest Old Testament parallel to the despair the chapter confronts and the</w:t>
      </w:r>
      <w:r>
        <w:t xml:space="preserve"> </w:t>
      </w:r>
      <w:r>
        <w:t xml:space="preserve">“sanctuary perspective”</w:t>
      </w:r>
      <w:r>
        <w:t xml:space="preserve"> </w:t>
      </w:r>
      <w:r>
        <w:t xml:space="preserve">that resolves it.</w:t>
      </w:r>
    </w:p>
    <w:p>
      <w:r>
        <w:pict>
          <v:rect style="width:0;height:1.5pt" o:hralign="center" o:hrstd="t" o:hr="t"/>
        </w:pict>
      </w:r>
    </w:p>
    <w:p>
      <w:pPr>
        <w:pStyle w:val="FirstParagraph"/>
      </w:pPr>
      <w:r>
        <w:rPr>
          <w:b/>
          <w:bCs/>
        </w:rPr>
        <w:t xml:space="preserve">Aim:</w:t>
      </w:r>
      <w:r>
        <w:t xml:space="preserve"> </w:t>
      </w:r>
      <w:r>
        <w:t xml:space="preserve">To confront the functional atheism lurking beneath religious participation — the practical conviction that God neither enforces His covenant nor rewards those who keep it — and to call the reader to genuine covenant fear, generous faithfulness, and confident hope in God’s certain vindication.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3:1a</w:t>
            </w:r>
          </w:p>
        </w:tc>
        <w:tc>
          <w:tcPr/>
          <w:p>
            <w:pPr>
              <w:pStyle w:val="Compact"/>
            </w:pPr>
            <w:r>
              <w:t xml:space="preserve">The LORD announces He is sending</w:t>
            </w:r>
            <w:r>
              <w:t xml:space="preserve"> </w:t>
            </w:r>
            <w:r>
              <w:t xml:space="preserve">“my messenger”</w:t>
            </w:r>
            <w:r>
              <w:t xml:space="preserve"> </w:t>
            </w:r>
            <w:r>
              <w:t xml:space="preserve">to prepare His way</w:t>
            </w:r>
          </w:p>
        </w:tc>
        <w:tc>
          <w:tcPr/>
          <w:p>
            <w:pPr>
              <w:pStyle w:val="Compact"/>
            </w:pPr>
            <w:r>
              <w:t xml:space="preserve">The Hebrew</w:t>
            </w:r>
            <w:r>
              <w:t xml:space="preserve"> </w:t>
            </w:r>
            <w:r>
              <w:rPr>
                <w:i/>
                <w:iCs/>
              </w:rPr>
              <w:t xml:space="preserve">malachi</w:t>
            </w:r>
            <w:r>
              <w:t xml:space="preserve"> </w:t>
            </w:r>
            <w:r>
              <w:t xml:space="preserve">(</w:t>
            </w:r>
            <w:r>
              <w:t xml:space="preserve">“my messenger”</w:t>
            </w:r>
            <w:r>
              <w:t xml:space="preserve">) creates a play on the book’s title/author</w:t>
            </w:r>
          </w:p>
        </w:tc>
      </w:tr>
      <w:tr>
        <w:tc>
          <w:tcPr/>
          <w:p>
            <w:pPr>
              <w:pStyle w:val="Compact"/>
            </w:pPr>
            <w:r>
              <w:t xml:space="preserve">3:1b</w:t>
            </w:r>
          </w:p>
        </w:tc>
        <w:tc>
          <w:tcPr/>
          <w:p>
            <w:pPr>
              <w:pStyle w:val="Compact"/>
            </w:pPr>
            <w:r>
              <w:t xml:space="preserve">The Lord will come suddenly to His temple — the messenger of the covenant, whom they seek and delight in</w:t>
            </w:r>
          </w:p>
        </w:tc>
        <w:tc>
          <w:tcPr/>
          <w:p>
            <w:pPr>
              <w:pStyle w:val="Compact"/>
            </w:pPr>
            <w:r>
              <w:t xml:space="preserve">“Suddenly”</w:t>
            </w:r>
            <w:r>
              <w:t xml:space="preserve"> </w:t>
            </w:r>
            <w:r>
              <w:t xml:space="preserve">(</w:t>
            </w:r>
            <w:r>
              <w:rPr>
                <w:i/>
                <w:iCs/>
              </w:rPr>
              <w:t xml:space="preserve">pit’om</w:t>
            </w:r>
            <w:r>
              <w:t xml:space="preserve">) — unexpectedly, not at Israel’s convenience</w:t>
            </w:r>
          </w:p>
        </w:tc>
      </w:tr>
      <w:tr>
        <w:tc>
          <w:tcPr/>
          <w:p>
            <w:pPr>
              <w:pStyle w:val="Compact"/>
            </w:pPr>
            <w:r>
              <w:t xml:space="preserve">3:2–3</w:t>
            </w:r>
          </w:p>
        </w:tc>
        <w:tc>
          <w:tcPr/>
          <w:p>
            <w:pPr>
              <w:pStyle w:val="Compact"/>
            </w:pPr>
            <w:r>
              <w:t xml:space="preserve">Rhetorical challenge: who can endure His coming? He is refiner’s fire and fuller’s soap, purifying the Levites</w:t>
            </w:r>
          </w:p>
        </w:tc>
        <w:tc>
          <w:tcPr/>
          <w:p>
            <w:pPr>
              <w:pStyle w:val="Compact"/>
            </w:pPr>
            <w:r>
              <w:t xml:space="preserve">The refiner’s fire image establishes that the coming purifies before it judges; the Levites — the religious leaders — come first under scrutiny</w:t>
            </w:r>
          </w:p>
        </w:tc>
      </w:tr>
      <w:tr>
        <w:tc>
          <w:tcPr/>
          <w:p>
            <w:pPr>
              <w:pStyle w:val="Compact"/>
            </w:pPr>
            <w:r>
              <w:t xml:space="preserve">3:4</w:t>
            </w:r>
          </w:p>
        </w:tc>
        <w:tc>
          <w:tcPr/>
          <w:p>
            <w:pPr>
              <w:pStyle w:val="Compact"/>
            </w:pPr>
            <w:r>
              <w:t xml:space="preserve">After purification, the offerings of Judah and Jerusalem will be pleasing to the LORD as in former days</w:t>
            </w:r>
          </w:p>
        </w:tc>
        <w:tc>
          <w:tcPr/>
          <w:p>
            <w:pPr>
              <w:pStyle w:val="Compact"/>
            </w:pPr>
            <w:r>
              <w:t xml:space="preserve">The purpose of the refining is restored acceptable worship — not destruction but renewal</w:t>
            </w:r>
          </w:p>
        </w:tc>
      </w:tr>
      <w:tr>
        <w:tc>
          <w:tcPr/>
          <w:p>
            <w:pPr>
              <w:pStyle w:val="Compact"/>
            </w:pPr>
            <w:r>
              <w:t xml:space="preserve">3:5</w:t>
            </w:r>
          </w:p>
        </w:tc>
        <w:tc>
          <w:tcPr/>
          <w:p>
            <w:pPr>
              <w:pStyle w:val="Compact"/>
            </w:pPr>
            <w:r>
              <w:t xml:space="preserve">The LORD will be swift to judge sorcerers, adulterers, perjurers, oppressors of the vulnerable, and those who do not fear Him</w:t>
            </w:r>
          </w:p>
        </w:tc>
        <w:tc>
          <w:tcPr/>
          <w:p>
            <w:pPr>
              <w:pStyle w:val="Compact"/>
            </w:pPr>
            <w:r>
              <w:t xml:space="preserve">The judgment list covers hidden sins, sexual covenant-breaking, injustice, and fundamental impiety — the social fabric torn by covenant infidelity</w:t>
            </w:r>
          </w:p>
        </w:tc>
      </w:tr>
      <w:tr>
        <w:tc>
          <w:tcPr/>
          <w:p>
            <w:pPr>
              <w:pStyle w:val="Compact"/>
            </w:pPr>
            <w:r>
              <w:t xml:space="preserve">3:6</w:t>
            </w:r>
          </w:p>
        </w:tc>
        <w:tc>
          <w:tcPr/>
          <w:p>
            <w:pPr>
              <w:pStyle w:val="Compact"/>
            </w:pPr>
            <w:r>
              <w:t xml:space="preserve">“I the LORD do not change; therefore you, O children of Jacob, are not consumed”</w:t>
            </w:r>
          </w:p>
        </w:tc>
        <w:tc>
          <w:tcPr/>
          <w:p>
            <w:pPr>
              <w:pStyle w:val="Compact"/>
            </w:pPr>
            <w:r>
              <w:t xml:space="preserve">Divine immutability as the ground of Israel’s preservation despite their infidelity — mercy, not merit</w:t>
            </w:r>
          </w:p>
        </w:tc>
      </w:tr>
      <w:tr>
        <w:tc>
          <w:tcPr/>
          <w:p>
            <w:pPr>
              <w:pStyle w:val="Compact"/>
            </w:pPr>
            <w:r>
              <w:t xml:space="preserve">3:7</w:t>
            </w:r>
          </w:p>
        </w:tc>
        <w:tc>
          <w:tcPr/>
          <w:p>
            <w:pPr>
              <w:pStyle w:val="Compact"/>
            </w:pPr>
            <w:r>
              <w:t xml:space="preserve">God identifies their pattern:</w:t>
            </w:r>
            <w:r>
              <w:t xml:space="preserve"> </w:t>
            </w:r>
            <w:r>
              <w:t xml:space="preserve">“from the days of your fathers you have turned aside from my statutes and have not kept them”</w:t>
            </w:r>
            <w:r>
              <w:t xml:space="preserve"> </w:t>
            </w:r>
            <w:r>
              <w:t xml:space="preserve">— calls for return; Israel asks</w:t>
            </w:r>
            <w:r>
              <w:t xml:space="preserve"> </w:t>
            </w:r>
            <w:r>
              <w:t xml:space="preserve">“How shall we return?”</w:t>
            </w:r>
          </w:p>
        </w:tc>
        <w:tc>
          <w:tcPr/>
          <w:p>
            <w:pPr>
              <w:pStyle w:val="Compact"/>
            </w:pPr>
            <w:r>
              <w:t xml:space="preserve">The</w:t>
            </w:r>
            <w:r>
              <w:t xml:space="preserve"> </w:t>
            </w:r>
            <w:r>
              <w:t xml:space="preserve">“How shall we return?”</w:t>
            </w:r>
            <w:r>
              <w:t xml:space="preserve"> </w:t>
            </w:r>
            <w:r>
              <w:t xml:space="preserve">question is the seventh disputation opener — a posture of either genuine confusion or disingenuous deflection</w:t>
            </w:r>
          </w:p>
        </w:tc>
      </w:tr>
      <w:tr>
        <w:tc>
          <w:tcPr/>
          <w:p>
            <w:pPr>
              <w:pStyle w:val="Compact"/>
            </w:pPr>
            <w:r>
              <w:t xml:space="preserve">3:8–9</w:t>
            </w:r>
          </w:p>
        </w:tc>
        <w:tc>
          <w:tcPr/>
          <w:p>
            <w:pPr>
              <w:pStyle w:val="Compact"/>
            </w:pPr>
            <w:r>
              <w:t xml:space="preserve">Charge:</w:t>
            </w:r>
            <w:r>
              <w:t xml:space="preserve"> </w:t>
            </w:r>
            <w:r>
              <w:t xml:space="preserve">“Will man rob God? Yet you are robbing me.”</w:t>
            </w:r>
            <w:r>
              <w:t xml:space="preserve"> </w:t>
            </w:r>
            <w:r>
              <w:t xml:space="preserve">The robbery: withholding tithes and offerings; the consequence: a curse — the whole nation is under it</w:t>
            </w:r>
          </w:p>
        </w:tc>
        <w:tc>
          <w:tcPr/>
          <w:p>
            <w:pPr>
              <w:pStyle w:val="Compact"/>
            </w:pPr>
            <w:r>
              <w:t xml:space="preserve">The charge is breathtaking in its directness — robbing God; the whole nation is implicated, not merely individuals</w:t>
            </w:r>
          </w:p>
        </w:tc>
      </w:tr>
      <w:tr>
        <w:tc>
          <w:tcPr/>
          <w:p>
            <w:pPr>
              <w:pStyle w:val="Compact"/>
            </w:pPr>
            <w:r>
              <w:t xml:space="preserve">3:10a</w:t>
            </w:r>
          </w:p>
        </w:tc>
        <w:tc>
          <w:tcPr/>
          <w:p>
            <w:pPr>
              <w:pStyle w:val="Compact"/>
            </w:pPr>
            <w:r>
              <w:t xml:space="preserve">Command: bring the full tithe to the storehouse so there will be food in God’s house</w:t>
            </w:r>
          </w:p>
        </w:tc>
        <w:tc>
          <w:tcPr/>
          <w:p>
            <w:pPr>
              <w:pStyle w:val="Compact"/>
            </w:pPr>
            <w:r>
              <w:t xml:space="preserve">“Full tithe”</w:t>
            </w:r>
            <w:r>
              <w:t xml:space="preserve"> </w:t>
            </w:r>
            <w:r>
              <w:t xml:space="preserve">(</w:t>
            </w:r>
            <w:r>
              <w:rPr>
                <w:i/>
                <w:iCs/>
              </w:rPr>
              <w:t xml:space="preserve">kol-hama’aser</w:t>
            </w:r>
            <w:r>
              <w:t xml:space="preserve">) — the whole, not a reduced portion;</w:t>
            </w:r>
            <w:r>
              <w:t xml:space="preserve"> </w:t>
            </w:r>
            <w:r>
              <w:t xml:space="preserve">“food in my house”</w:t>
            </w:r>
            <w:r>
              <w:t xml:space="preserve"> </w:t>
            </w:r>
            <w:r>
              <w:t xml:space="preserve">— the Levitical system sustained by covenant obedience</w:t>
            </w:r>
          </w:p>
        </w:tc>
      </w:tr>
      <w:tr>
        <w:tc>
          <w:tcPr/>
          <w:p>
            <w:pPr>
              <w:pStyle w:val="Compact"/>
            </w:pPr>
            <w:r>
              <w:t xml:space="preserve">3:10b</w:t>
            </w:r>
          </w:p>
        </w:tc>
        <w:tc>
          <w:tcPr/>
          <w:p>
            <w:pPr>
              <w:pStyle w:val="Compact"/>
            </w:pPr>
            <w:r>
              <w:t xml:space="preserve">Invitation to test the LORD:</w:t>
            </w:r>
            <w:r>
              <w:t xml:space="preserve"> </w:t>
            </w:r>
            <w:r>
              <w:t xml:space="preserve">“See if I will not open the windows of heaven for you and pour down for you a blessing until there is no more need”</w:t>
            </w:r>
          </w:p>
        </w:tc>
        <w:tc>
          <w:tcPr/>
          <w:p>
            <w:pPr>
              <w:pStyle w:val="Compact"/>
            </w:pPr>
            <w:r>
              <w:t xml:space="preserve">The only place in the entire Hebrew Bible where God explicitly invites His people to test/prove Him — the rarity underscores the significance</w:t>
            </w:r>
          </w:p>
        </w:tc>
      </w:tr>
      <w:tr>
        <w:tc>
          <w:tcPr/>
          <w:p>
            <w:pPr>
              <w:pStyle w:val="Compact"/>
            </w:pPr>
            <w:r>
              <w:t xml:space="preserve">3:11</w:t>
            </w:r>
          </w:p>
        </w:tc>
        <w:tc>
          <w:tcPr/>
          <w:p>
            <w:pPr>
              <w:pStyle w:val="Compact"/>
            </w:pPr>
            <w:r>
              <w:t xml:space="preserve">The LORD will rebuke the devourer; vines will not fail; fields will produce</w:t>
            </w:r>
          </w:p>
        </w:tc>
        <w:tc>
          <w:tcPr/>
          <w:p>
            <w:pPr>
              <w:pStyle w:val="Compact"/>
            </w:pPr>
            <w:r>
              <w:t xml:space="preserve">Agricultural language — Mosaic covenant blessings (Deuteronomy 28) restored on repentance</w:t>
            </w:r>
          </w:p>
        </w:tc>
      </w:tr>
      <w:tr>
        <w:tc>
          <w:tcPr/>
          <w:p>
            <w:pPr>
              <w:pStyle w:val="Compact"/>
            </w:pPr>
            <w:r>
              <w:t xml:space="preserve">3:12</w:t>
            </w:r>
          </w:p>
        </w:tc>
        <w:tc>
          <w:tcPr/>
          <w:p>
            <w:pPr>
              <w:pStyle w:val="Compact"/>
            </w:pPr>
            <w:r>
              <w:t xml:space="preserve">All nations will call them blessed; they will be a land of delight</w:t>
            </w:r>
          </w:p>
        </w:tc>
        <w:tc>
          <w:tcPr/>
          <w:p>
            <w:pPr>
              <w:pStyle w:val="Compact"/>
            </w:pPr>
            <w:r>
              <w:t xml:space="preserve">Covenant restoration visible to the surrounding nations — a partial fulfillment of the Abrahamic blessing-to-the-nations trajectory</w:t>
            </w:r>
          </w:p>
        </w:tc>
      </w:tr>
      <w:tr>
        <w:tc>
          <w:tcPr/>
          <w:p>
            <w:pPr>
              <w:pStyle w:val="Compact"/>
            </w:pPr>
            <w:r>
              <w:t xml:space="preserve">3:13–14</w:t>
            </w:r>
          </w:p>
        </w:tc>
        <w:tc>
          <w:tcPr/>
          <w:p>
            <w:pPr>
              <w:pStyle w:val="Compact"/>
            </w:pPr>
            <w:r>
              <w:t xml:space="preserve">The sixth disputation:</w:t>
            </w:r>
            <w:r>
              <w:t xml:space="preserve"> </w:t>
            </w:r>
            <w:r>
              <w:t xml:space="preserve">“Your words have been hard against me.”</w:t>
            </w:r>
            <w:r>
              <w:t xml:space="preserve"> </w:t>
            </w:r>
            <w:r>
              <w:t xml:space="preserve">Israel’s complaint: serving God is vain; the arrogant are blessed; evildoers prosper; those who test God escape</w:t>
            </w:r>
          </w:p>
        </w:tc>
        <w:tc>
          <w:tcPr/>
          <w:p>
            <w:pPr>
              <w:pStyle w:val="Compact"/>
            </w:pPr>
            <w:r>
              <w:t xml:space="preserve">The language of</w:t>
            </w:r>
            <w:r>
              <w:t xml:space="preserve"> </w:t>
            </w:r>
            <w:r>
              <w:t xml:space="preserve">“hard words”</w:t>
            </w:r>
            <w:r>
              <w:t xml:space="preserve"> </w:t>
            </w:r>
            <w:r>
              <w:t xml:space="preserve">(</w:t>
            </w:r>
            <w:r>
              <w:rPr>
                <w:i/>
                <w:iCs/>
              </w:rPr>
              <w:t xml:space="preserve">chazaq</w:t>
            </w:r>
            <w:r>
              <w:t xml:space="preserve">) — strong, harsh, presumptuous words against God; the complaint is a form of practical theodicy — God’s justice appears absent</w:t>
            </w:r>
          </w:p>
        </w:tc>
      </w:tr>
      <w:tr>
        <w:tc>
          <w:tcPr/>
          <w:p>
            <w:pPr>
              <w:pStyle w:val="Compact"/>
            </w:pPr>
            <w:r>
              <w:t xml:space="preserve">3:15</w:t>
            </w:r>
          </w:p>
        </w:tc>
        <w:tc>
          <w:tcPr/>
          <w:p>
            <w:pPr>
              <w:pStyle w:val="Compact"/>
            </w:pPr>
            <w:r>
              <w:t xml:space="preserve">They call the arrogant blessed; evildoers are built up; those who test God escape judgment</w:t>
            </w:r>
          </w:p>
        </w:tc>
        <w:tc>
          <w:tcPr/>
          <w:p>
            <w:pPr>
              <w:pStyle w:val="Compact"/>
            </w:pPr>
            <w:r>
              <w:t xml:space="preserve">This is the functional conclusion of moral cynicism: the evidence appears to show that the wicked do better than the righteous</w:t>
            </w:r>
          </w:p>
        </w:tc>
      </w:tr>
      <w:tr>
        <w:tc>
          <w:tcPr/>
          <w:p>
            <w:pPr>
              <w:pStyle w:val="Compact"/>
            </w:pPr>
            <w:r>
              <w:t xml:space="preserve">3:16</w:t>
            </w:r>
          </w:p>
        </w:tc>
        <w:tc>
          <w:tcPr/>
          <w:p>
            <w:pPr>
              <w:pStyle w:val="Compact"/>
            </w:pPr>
            <w:r>
              <w:t xml:space="preserve">Those who feared the LORD spoke to one another; the LORD paid attention and heard; a book of remembrance was written before Him for those who feared the LORD and esteemed His name</w:t>
            </w:r>
          </w:p>
        </w:tc>
        <w:tc>
          <w:tcPr/>
          <w:p>
            <w:pPr>
              <w:pStyle w:val="Compact"/>
            </w:pPr>
            <w:r>
              <w:t xml:space="preserve">The remnant-community response — they speak</w:t>
            </w:r>
            <w:r>
              <w:t xml:space="preserve"> </w:t>
            </w:r>
            <w:r>
              <w:rPr>
                <w:i/>
                <w:iCs/>
              </w:rPr>
              <w:t xml:space="preserve">with</w:t>
            </w:r>
            <w:r>
              <w:t xml:space="preserve"> </w:t>
            </w:r>
            <w:r>
              <w:t xml:space="preserve">one another rather than</w:t>
            </w:r>
            <w:r>
              <w:t xml:space="preserve"> </w:t>
            </w:r>
            <w:r>
              <w:rPr>
                <w:i/>
                <w:iCs/>
              </w:rPr>
              <w:t xml:space="preserve">against</w:t>
            </w:r>
            <w:r>
              <w:t xml:space="preserve"> </w:t>
            </w:r>
            <w:r>
              <w:t xml:space="preserve">God; divine attentiveness; the book of remembrance as divine memory-keeping</w:t>
            </w:r>
          </w:p>
        </w:tc>
      </w:tr>
      <w:tr>
        <w:tc>
          <w:tcPr/>
          <w:p>
            <w:pPr>
              <w:pStyle w:val="Compact"/>
            </w:pPr>
            <w:r>
              <w:t xml:space="preserve">3:17</w:t>
            </w:r>
          </w:p>
        </w:tc>
        <w:tc>
          <w:tcPr/>
          <w:p>
            <w:pPr>
              <w:pStyle w:val="Compact"/>
            </w:pPr>
            <w:r>
              <w:t xml:space="preserve">“They shall be mine, says the LORD of hosts, in the day when I make up my treasured possession, and I will spare them as a man spares his son who serves him”</w:t>
            </w:r>
          </w:p>
        </w:tc>
        <w:tc>
          <w:tcPr/>
          <w:p>
            <w:pPr>
              <w:pStyle w:val="Compact"/>
            </w:pPr>
            <w:r>
              <w:rPr>
                <w:i/>
                <w:iCs/>
              </w:rPr>
              <w:t xml:space="preserve">Segullah</w:t>
            </w:r>
            <w:r>
              <w:t xml:space="preserve"> </w:t>
            </w:r>
            <w:r>
              <w:t xml:space="preserve">— treasured possession; the covenant language of Exodus 19:5 and Deuteronomy 7:6 now promised as eschatological reality; the father-son image of divine compassion</w:t>
            </w:r>
          </w:p>
        </w:tc>
      </w:tr>
      <w:tr>
        <w:tc>
          <w:tcPr/>
          <w:p>
            <w:pPr>
              <w:pStyle w:val="Compact"/>
            </w:pPr>
            <w:r>
              <w:t xml:space="preserve">3:18</w:t>
            </w:r>
          </w:p>
        </w:tc>
        <w:tc>
          <w:tcPr/>
          <w:p>
            <w:pPr>
              <w:pStyle w:val="Compact"/>
            </w:pPr>
            <w:r>
              <w:t xml:space="preserve">“You shall again see the distinction between the righteous and the wicked, between one who serves God and one who does not serve him”</w:t>
            </w:r>
          </w:p>
        </w:tc>
        <w:tc>
          <w:tcPr/>
          <w:p>
            <w:pPr>
              <w:pStyle w:val="Compact"/>
            </w:pPr>
            <w:r>
              <w:t xml:space="preserve">The climactic promise: the apparent moral incoherence of the present age will be resolved; the distinction will become visible — God’s justice publicly displayed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3:1–5</w:t>
            </w:r>
          </w:p>
        </w:tc>
        <w:tc>
          <w:tcPr/>
          <w:p>
            <w:pPr>
              <w:pStyle w:val="Compact"/>
            </w:pPr>
            <w:r>
              <w:t xml:space="preserve">The Refining Advent: The Coming of the LORD’s Messenger and the Lord Himself</w:t>
            </w:r>
          </w:p>
        </w:tc>
      </w:tr>
      <w:tr>
        <w:tc>
          <w:tcPr/>
          <w:p>
            <w:pPr>
              <w:pStyle w:val="Compact"/>
            </w:pPr>
            <w:r>
              <w:t xml:space="preserve">2</w:t>
            </w:r>
          </w:p>
        </w:tc>
        <w:tc>
          <w:tcPr/>
          <w:p>
            <w:pPr>
              <w:pStyle w:val="Compact"/>
            </w:pPr>
            <w:r>
              <w:t xml:space="preserve">3:6–12</w:t>
            </w:r>
          </w:p>
        </w:tc>
        <w:tc>
          <w:tcPr/>
          <w:p>
            <w:pPr>
              <w:pStyle w:val="Compact"/>
            </w:pPr>
            <w:r>
              <w:t xml:space="preserve">The Covenant Robbery: Immutability, Infidelity, and the Invitation to Test God</w:t>
            </w:r>
          </w:p>
        </w:tc>
      </w:tr>
      <w:tr>
        <w:tc>
          <w:tcPr/>
          <w:p>
            <w:pPr>
              <w:pStyle w:val="Compact"/>
            </w:pPr>
            <w:r>
              <w:t xml:space="preserve">3</w:t>
            </w:r>
          </w:p>
        </w:tc>
        <w:tc>
          <w:tcPr/>
          <w:p>
            <w:pPr>
              <w:pStyle w:val="Compact"/>
            </w:pPr>
            <w:r>
              <w:t xml:space="preserve">3:13–18</w:t>
            </w:r>
          </w:p>
        </w:tc>
        <w:tc>
          <w:tcPr/>
          <w:p>
            <w:pPr>
              <w:pStyle w:val="Compact"/>
            </w:pPr>
            <w:r>
              <w:t xml:space="preserve">The Futility Complaint: God’s Answer to Cynicism About the Reward of Faithfulness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announces His coming, exposes covenant robbery, and silences the cynicism that faithfulness to God is futile.</w:t>
      </w:r>
    </w:p>
    <w:p>
      <w:pPr>
        <w:pStyle w:val="BodyText"/>
      </w:pPr>
      <w:r>
        <w:rPr>
          <w:b/>
          <w:bCs/>
        </w:rPr>
        <w:t xml:space="preserve">Primary Claim:</w:t>
      </w:r>
      <w:r>
        <w:t xml:space="preserve"> </w:t>
      </w:r>
      <w:r>
        <w:t xml:space="preserve">God is confronting His people’s functional atheism — the practical conclusion that He neither enforces covenant obligations nor rewards covenant faithfulness — by announcing His refining arrival, naming their robbery, and writing the names of the faithful in His own book.</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theology is functionally atheistic even while being doctrinally orthodox.</w:t>
      </w:r>
      <w:r>
        <w:t xml:space="preserve"> </w:t>
      </w:r>
      <w:r>
        <w:rPr>
          <w:i/>
          <w:iCs/>
        </w:rPr>
        <w:t xml:space="preserve">(Mind/Belief)</w:t>
      </w:r>
    </w:p>
    <w:p>
      <w:pPr>
        <w:pStyle w:val="BodyText"/>
      </w:pPr>
      <w:r>
        <w:t xml:space="preserve">Malachi’s Israel believed in God — they brought sacrifices, debated His justice, and expected His arrival. What they did not believe, functionally, was that God noticed their tithes, enforced their covenant obligations, or rewarded their obedience. The danger this passage addresses is not atheism on paper but atheism in practice — a God acknowledged on Sundays who plays no role in the financial, moral, or evaluative decisions of the rest of the week. The reader should be pressed: in what area of your life are you practically operating as though God neither sees nor cares? The passage refuses to let religious performance substitute for genuine covenant engagement.</w:t>
      </w:r>
    </w:p>
    <w:p>
      <w:pPr>
        <w:pStyle w:val="BodyText"/>
      </w:pPr>
      <w:r>
        <w:rPr>
          <w:b/>
          <w:bCs/>
        </w:rPr>
        <w:t xml:space="preserve">2. Bring your giving under honest evaluation against the standard of covenant generosity rather than comfortable percentage.</w:t>
      </w:r>
      <w:r>
        <w:t xml:space="preserve"> </w:t>
      </w:r>
      <w:r>
        <w:rPr>
          <w:i/>
          <w:iCs/>
        </w:rPr>
        <w:t xml:space="preserve">(Will/Behavior)</w:t>
      </w:r>
    </w:p>
    <w:p>
      <w:pPr>
        <w:pStyle w:val="BodyText"/>
      </w:pPr>
      <w:r>
        <w:t xml:space="preserve">The tithing confrontation is not primarily about percentages — it is about whether your financial practice reflects actual trust in God’s generosity. The question Malachi presses is not</w:t>
      </w:r>
      <w:r>
        <w:t xml:space="preserve"> </w:t>
      </w:r>
      <w:r>
        <w:t xml:space="preserve">“have you given ten percent?”</w:t>
      </w:r>
      <w:r>
        <w:t xml:space="preserve"> </w:t>
      </w:r>
      <w:r>
        <w:t xml:space="preserve">but</w:t>
      </w:r>
      <w:r>
        <w:t xml:space="preserve"> </w:t>
      </w:r>
      <w:r>
        <w:t xml:space="preserve">“has your financial life been marked by the generous, openhanded trust that covenant relationship with a generous God should produce?”</w:t>
      </w:r>
      <w:r>
        <w:t xml:space="preserve"> </w:t>
      </w:r>
      <w:r>
        <w:t xml:space="preserve">For the New Testament Christian, 2 Corinthians 9 transforms the specific mechanism while retaining the principle: cheerful, sacrificial, proportionate generosity flowing from trust, not compulsory compliance. Where your giving is small, grudging, or calculated to minimize sacrifice, the passage names that as practical robbery — a functional statement that God cannot be trusted to provide if you give generously. The corrective is not just giving more but believing more — trusting that the God who owns everything will not allow generous faithfulness to go unrewarded.</w:t>
      </w:r>
    </w:p>
    <w:p>
      <w:pPr>
        <w:pStyle w:val="BodyText"/>
      </w:pPr>
      <w:r>
        <w:rPr>
          <w:b/>
          <w:bCs/>
        </w:rPr>
        <w:t xml:space="preserve">3. Resist the cynicism that frames faithful obedience as a losing investment.</w:t>
      </w:r>
      <w:r>
        <w:t xml:space="preserve"> </w:t>
      </w:r>
      <w:r>
        <w:rPr>
          <w:i/>
          <w:iCs/>
        </w:rPr>
        <w:t xml:space="preserve">(Affections/Worship)</w:t>
      </w:r>
    </w:p>
    <w:p>
      <w:pPr>
        <w:pStyle w:val="BodyText"/>
      </w:pPr>
      <w:r>
        <w:t xml:space="preserve">The complaint of verses 13–15 is extraordinarily honest: they have watched the arrogant prosper and the wicked escape, and they have concluded that serving God produces nothing. This is not abstract theological doubt — it is the lived disillusionment of people who expected obedience to produce visible returns and have waited without seeing them. Malachi’s answer is not to argue the economics but to reorient the gaze: God sees, God records, God will publicly distinguish. The application is to bring your own version of the</w:t>
      </w:r>
      <w:r>
        <w:t xml:space="preserve"> </w:t>
      </w:r>
      <w:r>
        <w:t xml:space="preserve">“what’s the point of faithfulness?”</w:t>
      </w:r>
      <w:r>
        <w:t xml:space="preserve"> </w:t>
      </w:r>
      <w:r>
        <w:t xml:space="preserve">complaint into the open before God rather than letting it calcify into cynicism beneath the surface of religious compliance. The psalm 73 movement — from the sanctuary perspective where the end of the wicked becomes visible — is the experiential shape of what verses 16–18 promise. Bring the despair to God; do not perform contentment you do not feel.</w:t>
      </w:r>
    </w:p>
    <w:p>
      <w:pPr>
        <w:pStyle w:val="BodyText"/>
      </w:pPr>
      <w:r>
        <w:rPr>
          <w:b/>
          <w:bCs/>
        </w:rPr>
        <w:t xml:space="preserve">4. Find your identity as God’s treasured possession in the covenant language of verse 17 rather than in your spiritual performance.</w:t>
      </w:r>
      <w:r>
        <w:t xml:space="preserve"> </w:t>
      </w:r>
      <w:r>
        <w:rPr>
          <w:i/>
          <w:iCs/>
        </w:rPr>
        <w:t xml:space="preserve">(Affections/Worship)</w:t>
      </w:r>
    </w:p>
    <w:p>
      <w:pPr>
        <w:pStyle w:val="BodyText"/>
      </w:pPr>
      <w:r>
        <w:t xml:space="preserve">The word</w:t>
      </w:r>
      <w:r>
        <w:t xml:space="preserve"> </w:t>
      </w:r>
      <w:r>
        <w:rPr>
          <w:i/>
          <w:iCs/>
        </w:rPr>
        <w:t xml:space="preserve">segullah</w:t>
      </w:r>
      <w:r>
        <w:t xml:space="preserve"> </w:t>
      </w:r>
      <w:r>
        <w:t xml:space="preserve">— treasured possession — is not earned vocabulary in this chapter. It appears precisely when God is describing a people who are being called back from covenant failure and cynicism. The father who spares his serving son is not describing a son who has been perfectly faithful — he is describing a father who receives and spares. The application is that the security God offers His faithful remnant is not the security of having achieved sufficient covenant compliance — it is the security of being claimed, known, and kept by a God who does not change (v. 6). For the Christian, this finds its fullest expression in union with Christ, in whom all the segullah-language of the Old Testament finds its yes and amen. You are not primarily someone who is trying to earn God’s attention — you are someone God has already named, recorded, and claimed. Live from that identity.</w:t>
      </w:r>
    </w:p>
    <w:p>
      <w:pPr>
        <w:pStyle w:val="BodyText"/>
      </w:pPr>
      <w:r>
        <w:rPr>
          <w:b/>
          <w:bCs/>
        </w:rPr>
        <w:t xml:space="preserve">5. When the apparent moral incoherence of the present age threatens your confidence in God’s justice, speak God’s faithfulness to one another rather than your complaints against Him.</w:t>
      </w:r>
      <w:r>
        <w:t xml:space="preserve"> </w:t>
      </w:r>
      <w:r>
        <w:rPr>
          <w:i/>
          <w:iCs/>
        </w:rPr>
        <w:t xml:space="preserve">(Will/Behavior)</w:t>
      </w:r>
    </w:p>
    <w:p>
      <w:pPr>
        <w:pStyle w:val="BodyText"/>
      </w:pPr>
      <w:r>
        <w:t xml:space="preserve">Verse 16 is a remarkable behavioral detail:</w:t>
      </w:r>
      <w:r>
        <w:t xml:space="preserve"> </w:t>
      </w:r>
      <w:r>
        <w:t xml:space="preserve">“those who feared the LORD spoke with one another.”</w:t>
      </w:r>
      <w:r>
        <w:t xml:space="preserve"> </w:t>
      </w:r>
      <w:r>
        <w:t xml:space="preserve">The response of the remnant to the same circumstances that produced the cynical complaint of verses 13–15 was not to speak</w:t>
      </w:r>
      <w:r>
        <w:t xml:space="preserve"> </w:t>
      </w:r>
      <w:r>
        <w:rPr>
          <w:i/>
          <w:iCs/>
        </w:rPr>
        <w:t xml:space="preserve">against</w:t>
      </w:r>
      <w:r>
        <w:t xml:space="preserve"> </w:t>
      </w:r>
      <w:r>
        <w:t xml:space="preserve">God but to speak</w:t>
      </w:r>
      <w:r>
        <w:t xml:space="preserve"> </w:t>
      </w:r>
      <w:r>
        <w:rPr>
          <w:i/>
          <w:iCs/>
        </w:rPr>
        <w:t xml:space="preserve">to one another</w:t>
      </w:r>
      <w:r>
        <w:t xml:space="preserve"> </w:t>
      </w:r>
      <w:r>
        <w:t xml:space="preserve">— presumably about God’s faithfulness, His promises, His coming vindication. The community of faith is meant to be a mutual reinforcement structure against the despair of the present age. The practical application is concrete: when the apparent prosperity of the unrighteous and the apparent fruitlessness of faithful living press hard on you, do not retreat into private bitterness or public cynicism about God. Find someone else who fears the LORD and speak truth to them about what you both know to be true. The book of remembrance records not just individual faithfulness but corporate testimony — the conversations of the remnant who held onto hope together.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Malachi 3 discloses God as the absolutely self-consistent covenant Lord whose immutability is simultaneously the ground of His patience with Israel’s failure and the guarantee of His coming judgment and vindication. The</w:t>
      </w:r>
      <w:r>
        <w:t xml:space="preserve"> </w:t>
      </w:r>
      <w:r>
        <w:t xml:space="preserve">“I the LORD do not change”</w:t>
      </w:r>
      <w:r>
        <w:t xml:space="preserve"> </w:t>
      </w:r>
      <w:r>
        <w:t xml:space="preserve">of verse 6 is not primarily a metaphysical statement — it is a covenantal-relational statement: the same God who bound Himself to Jacob’s line will not abandon it, and the same God who bound Israel to Himself in covenant will not overlook their infidelity indefinitely. The chapter also reveals God as the divine record-keeper who sees and attends to every act of covenant faithfulness — the book of remembrance is a disclosure of God’s personal, sustained attention to those who fear Him, even in circumstances where His attention appears to be absent. Finally, the refining-fire imagery of verses 2–4 reveals that God’s purpose in coming is not destruction but purification — His holiness does not consume His people but refines them toward the worship He desires and they were created to offer.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Malachi 3 is a foundational text for the Reformed understanding of sovereign grace grounded in divine immutability — God’s covenant faithfulness to Jacob’s line is not a response to their performance but flows from His own unchanging character. This is the anti-merit logic that runs through the chapter: the reason Israel is not consumed is not that they have managed sufficient faithfulness, but that the LORD does not change. This directly anticipates the Reformed doctrine of perseverance — the saints do not persevere because of their own resolve but because they are held by a God whose covenant commitment is anchored in His own nature, not theirs. The chapter also powerfully illustrates the Reformed diagnostic of idolatry and functional unbelief: Israel’s practical atheism — withholding tithes, speaking hard words against God — is not a failure of information but a failure of trust, a functional denial of the God they confess. Finally, the forerunner oracle of verse 1 places the entire chapter within the Christological center of the Reformed hermeneutic — the covenant Lord who comes to refine and judge is the Lord Jesus Christ, whose first advent brought both the purification of the cross and the inauguration of the judgment that will be consummated at His return.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absent, He is not indifferent, and faithfulness to Him is not a losing investment — but He is coming as a refining fire, not a comfortable affirmation. If your financial life, your private speech, or your functional calculus about obedience reveals that you have stopped believing God sees and rewards covenant faithfulness, this chapter names that as robbery and calls you back. Your name is being written down. The day is coming when the distinction will be made visible. Live now in light of that day.</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chapter to a sermon on tithing.</w:t>
      </w:r>
      <w:r>
        <w:t xml:space="preserve"> </w:t>
      </w:r>
      <w:r>
        <w:t xml:space="preserve">Malachi 3:10 is one of the most frequently decontextualized verses in the Old Testament, routinely extracted and preached as a free-standing prosperity-and-giving formula. This distorts the passage in both directions: it makes the tithing confrontation the chapter’s center when it is actually one of three movements serving the larger functional-atheism diagnosis, and it imports a mechanical prosperity-blessing transaction that the broader canon — including the New Testament — substantially qualifies. Preach the tithing section within the chapter’s full argument; do not let verse 10 become the sermon’s organizing center.</w:t>
      </w:r>
    </w:p>
    <w:p>
      <w:pPr>
        <w:numPr>
          <w:ilvl w:val="0"/>
          <w:numId w:val="1002"/>
        </w:numPr>
      </w:pPr>
      <w:r>
        <w:rPr>
          <w:b/>
          <w:bCs/>
        </w:rPr>
        <w:t xml:space="preserve">Misidentifying the</w:t>
      </w:r>
      <w:r>
        <w:rPr>
          <w:b/>
          <w:bCs/>
        </w:rPr>
        <w:t xml:space="preserve"> </w:t>
      </w:r>
      <w:r>
        <w:rPr>
          <w:b/>
          <w:bCs/>
        </w:rPr>
        <w:t xml:space="preserve">“windows of heaven”</w:t>
      </w:r>
      <w:r>
        <w:rPr>
          <w:b/>
          <w:bCs/>
        </w:rPr>
        <w:t xml:space="preserve"> </w:t>
      </w:r>
      <w:r>
        <w:rPr>
          <w:b/>
          <w:bCs/>
        </w:rPr>
        <w:t xml:space="preserve">promise as a general wealth guarantee.</w:t>
      </w:r>
      <w:r>
        <w:t xml:space="preserve"> </w:t>
      </w:r>
      <w:r>
        <w:t xml:space="preserve">Verse 10’s</w:t>
      </w:r>
      <w:r>
        <w:t xml:space="preserve"> </w:t>
      </w:r>
      <w:r>
        <w:t xml:space="preserve">“open the windows of heaven and pour down for you a blessing until there is no more need”</w:t>
      </w:r>
      <w:r>
        <w:t xml:space="preserve"> </w:t>
      </w:r>
      <w:r>
        <w:t xml:space="preserve">is specifically agrarian-covenantal imagery drawn from Deuteronomy 28 — rain for crops under the Mosaic covenant economy. Preaching this as a guaranteed financial return on giving in a new covenant context conflates the covenants in a way the hermeneutical move from Malachi to 2 Corinthians 9 does not support. The principle of God’s generous response to generous giving carries; the specific mechanism of agricultural blessing does not transfer directly.</w:t>
      </w:r>
    </w:p>
    <w:p>
      <w:pPr>
        <w:numPr>
          <w:ilvl w:val="0"/>
          <w:numId w:val="1002"/>
        </w:numPr>
      </w:pPr>
      <w:r>
        <w:rPr>
          <w:b/>
          <w:bCs/>
        </w:rPr>
        <w:t xml:space="preserve">Missing the Christological telos of verses 1–5.</w:t>
      </w:r>
      <w:r>
        <w:t xml:space="preserve"> </w:t>
      </w:r>
      <w:r>
        <w:t xml:space="preserve">Some expository treatments of this chapter preach the forerunner and refining-messenger oracle as a general statement about God’s holiness in judgment without noting that the New Testament’s explicit identification of the forerunner with John the Baptist makes this text directly Christological. Omitting the fulfillment in John and Christ produces an exposition that is historically accurate but redemptively truncated — it stops short of where the text is pointing.</w:t>
      </w:r>
    </w:p>
    <w:p>
      <w:pPr>
        <w:numPr>
          <w:ilvl w:val="0"/>
          <w:numId w:val="1002"/>
        </w:numPr>
      </w:pPr>
      <w:r>
        <w:rPr>
          <w:b/>
          <w:bCs/>
        </w:rPr>
        <w:t xml:space="preserve">Preaching verses 13–15 as if the complaining voices are simply wrong without acknowledging what is right about their observation.</w:t>
      </w:r>
      <w:r>
        <w:t xml:space="preserve"> </w:t>
      </w:r>
      <w:r>
        <w:t xml:space="preserve">The complaint that the arrogant prosper and the wicked escape is not baseless — it is a real observation about the moral texture of the present age that Psalm 73 and Habakkuk take with full seriousness. Preaching that simply dismisses the complaint (</w:t>
      </w:r>
      <w:r>
        <w:t xml:space="preserve">“of course God rewards the righteous — stop complaining!”</w:t>
      </w:r>
      <w:r>
        <w:t xml:space="preserve">) misses the pastoral weight of what the chapter is doing. The passage does not deny the observation; it changes the eschatological frame in which the observation is evaluated. Preachers should honor the weight of the complaint before pressing the eschatological resolution.</w:t>
      </w:r>
    </w:p>
    <w:p>
      <w:pPr>
        <w:numPr>
          <w:ilvl w:val="0"/>
          <w:numId w:val="1002"/>
        </w:numPr>
      </w:pPr>
      <w:r>
        <w:rPr>
          <w:b/>
          <w:bCs/>
        </w:rPr>
        <w:t xml:space="preserve">Applying verse 16 only to corporate worship gatherings.</w:t>
      </w:r>
      <w:r>
        <w:t xml:space="preserve"> </w:t>
      </w:r>
      <w:r>
        <w:t xml:space="preserve">The image of the faithful</w:t>
      </w:r>
      <w:r>
        <w:t xml:space="preserve"> </w:t>
      </w:r>
      <w:r>
        <w:t xml:space="preserve">“speaking to one another”</w:t>
      </w:r>
      <w:r>
        <w:t xml:space="preserve"> </w:t>
      </w:r>
      <w:r>
        <w:t xml:space="preserve">is sometimes domesticated into an application about church attendance. The text’s meaning is richer: it is describing the remnant community actively speaking God’s faithfulness into each other’s lives in the face of circumstances that press toward cynicism. The application should press toward the substance of what is spoken — mutual testimony about God’s faithfulness, not merely the practice of gathering.</w:t>
      </w:r>
    </w:p>
    <w:p>
      <w:pPr>
        <w:numPr>
          <w:ilvl w:val="0"/>
          <w:numId w:val="1002"/>
        </w:numPr>
      </w:pPr>
      <w:r>
        <w:rPr>
          <w:b/>
          <w:bCs/>
        </w:rPr>
        <w:t xml:space="preserve">Preaching divine immutability (v. 6) as philosophical abstraction rather than covenantal assurance.</w:t>
      </w:r>
      <w:r>
        <w:t xml:space="preserve"> </w:t>
      </w:r>
      <w:r>
        <w:t xml:space="preserve">Verse 6’s</w:t>
      </w:r>
      <w:r>
        <w:t xml:space="preserve"> </w:t>
      </w:r>
      <w:r>
        <w:t xml:space="preserve">“I the LORD do not change”</w:t>
      </w:r>
      <w:r>
        <w:t xml:space="preserve"> </w:t>
      </w:r>
      <w:r>
        <w:t xml:space="preserve">is sometimes preached as a theological truth about God’s eternal nature detached from its covenantal context. In context, the statement is doing specific pastoral work: it is explaining why a faithless people has not been destroyed — not because they deserve preservation but because the God who made the covenant has not changed His mind about it. Preaching the attribute without the covenantal logic that drives it in context produces doctrinal accuracy without applicational traction.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2026-07-14T21:07:02Z</dcterms:created>
  <dcterms:modified xsi:type="dcterms:W3CDTF">2026-07-14T21:07:02Z</dcterms:modified>
</cp:coreProperties>
</file>

<file path=docProps/custom.xml><?xml version="1.0" encoding="utf-8"?>
<Properties xmlns="http://schemas.openxmlformats.org/officeDocument/2006/custom-properties" xmlns:vt="http://schemas.openxmlformats.org/officeDocument/2006/docPropsVTypes"/>
</file>